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21" w:rsidRDefault="00D46C21" w:rsidP="00000A1B">
      <w:pPr>
        <w:jc w:val="center"/>
        <w:rPr>
          <w:b/>
        </w:rPr>
      </w:pPr>
    </w:p>
    <w:p w:rsidR="000D235E" w:rsidRPr="00A404C2" w:rsidRDefault="000D235E" w:rsidP="000D235E">
      <w:pPr>
        <w:jc w:val="center"/>
        <w:rPr>
          <w:b/>
          <w:sz w:val="28"/>
          <w:szCs w:val="28"/>
        </w:rPr>
      </w:pPr>
      <w:r w:rsidRPr="00A404C2">
        <w:rPr>
          <w:b/>
          <w:sz w:val="28"/>
          <w:szCs w:val="28"/>
        </w:rPr>
        <w:t>Health Improvement Board</w:t>
      </w:r>
    </w:p>
    <w:p w:rsidR="000D235E" w:rsidRPr="00707E5F" w:rsidRDefault="00707E5F" w:rsidP="000D235E">
      <w:pPr>
        <w:jc w:val="center"/>
        <w:rPr>
          <w:b/>
          <w:sz w:val="28"/>
          <w:szCs w:val="28"/>
        </w:rPr>
      </w:pPr>
      <w:r w:rsidRPr="00707E5F">
        <w:rPr>
          <w:b/>
          <w:sz w:val="28"/>
          <w:szCs w:val="28"/>
        </w:rPr>
        <w:t>13 September 2018</w:t>
      </w:r>
    </w:p>
    <w:p w:rsidR="000D235E" w:rsidRPr="00DD7924" w:rsidRDefault="000D235E" w:rsidP="000D235E">
      <w:pPr>
        <w:jc w:val="center"/>
        <w:rPr>
          <w:b/>
        </w:rPr>
      </w:pPr>
    </w:p>
    <w:p w:rsidR="000D235E" w:rsidRPr="00A404C2" w:rsidRDefault="001D6B32" w:rsidP="000D235E">
      <w:pPr>
        <w:jc w:val="center"/>
        <w:rPr>
          <w:b/>
          <w:sz w:val="28"/>
          <w:szCs w:val="28"/>
        </w:rPr>
      </w:pPr>
      <w:r w:rsidRPr="00194CB1">
        <w:rPr>
          <w:b/>
          <w:sz w:val="28"/>
          <w:szCs w:val="28"/>
        </w:rPr>
        <w:t>Q</w:t>
      </w:r>
      <w:r w:rsidR="00194CB1" w:rsidRPr="00194CB1">
        <w:rPr>
          <w:b/>
          <w:sz w:val="28"/>
          <w:szCs w:val="28"/>
        </w:rPr>
        <w:t>4 2017/18</w:t>
      </w:r>
      <w:r w:rsidR="000D235E">
        <w:rPr>
          <w:b/>
          <w:sz w:val="28"/>
          <w:szCs w:val="28"/>
        </w:rPr>
        <w:t xml:space="preserve"> </w:t>
      </w:r>
      <w:r w:rsidR="000D235E" w:rsidRPr="00A404C2">
        <w:rPr>
          <w:b/>
          <w:sz w:val="28"/>
          <w:szCs w:val="28"/>
        </w:rPr>
        <w:t>Performance Report</w:t>
      </w:r>
      <w:bookmarkStart w:id="0" w:name="_GoBack"/>
      <w:bookmarkEnd w:id="0"/>
    </w:p>
    <w:p w:rsidR="000D235E" w:rsidRPr="00DD7924" w:rsidRDefault="000D235E" w:rsidP="000D235E">
      <w:pPr>
        <w:rPr>
          <w:b/>
        </w:rPr>
      </w:pPr>
    </w:p>
    <w:p w:rsidR="000D235E" w:rsidRPr="00DD7924" w:rsidRDefault="000D235E" w:rsidP="000D235E">
      <w:pPr>
        <w:ind w:firstLine="360"/>
        <w:rPr>
          <w:b/>
        </w:rPr>
      </w:pPr>
      <w:r w:rsidRPr="00DD7924">
        <w:rPr>
          <w:b/>
        </w:rPr>
        <w:t>Background</w:t>
      </w:r>
    </w:p>
    <w:p w:rsidR="000D235E" w:rsidRPr="00DD7924" w:rsidRDefault="000D235E" w:rsidP="000D235E">
      <w:pPr>
        <w:rPr>
          <w:b/>
        </w:rPr>
      </w:pPr>
    </w:p>
    <w:p w:rsidR="000D235E" w:rsidRPr="00DD7924" w:rsidRDefault="000D235E" w:rsidP="000D235E">
      <w:pPr>
        <w:numPr>
          <w:ilvl w:val="0"/>
          <w:numId w:val="2"/>
        </w:numPr>
        <w:contextualSpacing/>
      </w:pPr>
      <w:r w:rsidRPr="00DD7924">
        <w:t>The Health Improvement Board is expected to have oversight and of performance on four priorities within Oxfordshire’s Joint Health and Wellbeing Strategy 2012-2016, and ensure appropriate action is taken by partner organisations to deliver the priorities and measures, on behalf of the Health and Wellbeing Board.</w:t>
      </w:r>
    </w:p>
    <w:p w:rsidR="000D235E" w:rsidRPr="00DD7924" w:rsidRDefault="000D235E" w:rsidP="000D235E">
      <w:pPr>
        <w:ind w:left="720"/>
        <w:contextualSpacing/>
      </w:pPr>
    </w:p>
    <w:p w:rsidR="000D235E" w:rsidRPr="00DD7924" w:rsidRDefault="000D235E" w:rsidP="000D235E">
      <w:pPr>
        <w:numPr>
          <w:ilvl w:val="0"/>
          <w:numId w:val="2"/>
        </w:numPr>
        <w:contextualSpacing/>
      </w:pPr>
      <w:r w:rsidRPr="00DD7924">
        <w:t>The four priorities the Board has responsibility for are:</w:t>
      </w:r>
    </w:p>
    <w:p w:rsidR="000D235E" w:rsidRPr="00DD7924" w:rsidRDefault="000D235E" w:rsidP="000D235E"/>
    <w:p w:rsidR="000D235E" w:rsidRPr="00DD7924" w:rsidRDefault="000D235E" w:rsidP="000D235E">
      <w:pPr>
        <w:spacing w:before="60" w:after="60"/>
        <w:ind w:firstLine="720"/>
        <w:contextualSpacing/>
        <w:rPr>
          <w:bCs/>
        </w:rPr>
      </w:pPr>
      <w:r w:rsidRPr="00DD7924">
        <w:rPr>
          <w:b/>
          <w:bCs/>
        </w:rPr>
        <w:t>Priority 8</w:t>
      </w:r>
      <w:r w:rsidRPr="00DD7924">
        <w:rPr>
          <w:bCs/>
        </w:rPr>
        <w:t xml:space="preserve">: </w:t>
      </w:r>
      <w:r w:rsidRPr="00DD7924">
        <w:rPr>
          <w:bCs/>
        </w:rPr>
        <w:tab/>
        <w:t>Preventing early death and improving quality of life in later years</w:t>
      </w:r>
    </w:p>
    <w:p w:rsidR="000D235E" w:rsidRPr="00DD7924" w:rsidRDefault="000D235E" w:rsidP="000D235E">
      <w:pPr>
        <w:spacing w:before="60" w:after="60"/>
        <w:ind w:left="720"/>
        <w:contextualSpacing/>
        <w:rPr>
          <w:bCs/>
        </w:rPr>
      </w:pPr>
      <w:r w:rsidRPr="00DD7924">
        <w:rPr>
          <w:b/>
          <w:bCs/>
        </w:rPr>
        <w:t>Priority 9</w:t>
      </w:r>
      <w:r w:rsidRPr="00DD7924">
        <w:rPr>
          <w:bCs/>
        </w:rPr>
        <w:t xml:space="preserve">: </w:t>
      </w:r>
      <w:r w:rsidRPr="00DD7924">
        <w:rPr>
          <w:bCs/>
        </w:rPr>
        <w:tab/>
        <w:t>Preventing chronic disease through tackling obesity</w:t>
      </w:r>
    </w:p>
    <w:p w:rsidR="000D235E" w:rsidRPr="00DD7924" w:rsidRDefault="000D235E" w:rsidP="000D235E">
      <w:pPr>
        <w:spacing w:before="60" w:after="60"/>
        <w:ind w:firstLine="720"/>
        <w:contextualSpacing/>
        <w:rPr>
          <w:bCs/>
        </w:rPr>
      </w:pPr>
      <w:r w:rsidRPr="00DD7924">
        <w:rPr>
          <w:b/>
          <w:bCs/>
        </w:rPr>
        <w:t>Priority 10</w:t>
      </w:r>
      <w:r w:rsidRPr="00DD7924">
        <w:rPr>
          <w:bCs/>
        </w:rPr>
        <w:t xml:space="preserve">: </w:t>
      </w:r>
      <w:r w:rsidRPr="00DD7924">
        <w:rPr>
          <w:bCs/>
        </w:rPr>
        <w:tab/>
        <w:t xml:space="preserve">Tackling the broader determinants of health through better </w:t>
      </w:r>
    </w:p>
    <w:p w:rsidR="000D235E" w:rsidRPr="00DD7924" w:rsidRDefault="000D235E" w:rsidP="000D235E">
      <w:pPr>
        <w:spacing w:before="60" w:after="60"/>
        <w:ind w:left="1440" w:firstLine="720"/>
        <w:contextualSpacing/>
        <w:rPr>
          <w:bCs/>
        </w:rPr>
      </w:pPr>
      <w:proofErr w:type="gramStart"/>
      <w:r w:rsidRPr="00DD7924">
        <w:rPr>
          <w:bCs/>
        </w:rPr>
        <w:t>housing</w:t>
      </w:r>
      <w:proofErr w:type="gramEnd"/>
      <w:r w:rsidRPr="00DD7924">
        <w:rPr>
          <w:bCs/>
        </w:rPr>
        <w:t xml:space="preserve"> and preventing homelessness</w:t>
      </w:r>
    </w:p>
    <w:p w:rsidR="000D235E" w:rsidRPr="00DD7924" w:rsidRDefault="000D235E" w:rsidP="000D235E">
      <w:pPr>
        <w:spacing w:before="60" w:after="60"/>
        <w:ind w:firstLine="720"/>
        <w:contextualSpacing/>
        <w:rPr>
          <w:bCs/>
        </w:rPr>
      </w:pPr>
      <w:r w:rsidRPr="00DD7924">
        <w:rPr>
          <w:b/>
          <w:bCs/>
        </w:rPr>
        <w:t>Priority 11</w:t>
      </w:r>
      <w:r w:rsidRPr="00DD7924">
        <w:rPr>
          <w:bCs/>
        </w:rPr>
        <w:t xml:space="preserve">: </w:t>
      </w:r>
      <w:r w:rsidRPr="00DD7924">
        <w:rPr>
          <w:bCs/>
        </w:rPr>
        <w:tab/>
        <w:t>Preventing infectious disease through immunisation</w:t>
      </w:r>
    </w:p>
    <w:p w:rsidR="000D235E" w:rsidRPr="00DD7924" w:rsidRDefault="000D235E" w:rsidP="000D235E">
      <w:pPr>
        <w:ind w:firstLine="720"/>
        <w:rPr>
          <w:bCs/>
          <w:iCs/>
          <w:color w:val="000000"/>
          <w:lang w:eastAsia="en-GB"/>
        </w:rPr>
      </w:pPr>
    </w:p>
    <w:p w:rsidR="00FD188D" w:rsidRDefault="00FD188D" w:rsidP="000D235E">
      <w:pPr>
        <w:ind w:firstLine="360"/>
        <w:rPr>
          <w:b/>
        </w:rPr>
      </w:pPr>
    </w:p>
    <w:p w:rsidR="000D235E" w:rsidRPr="00DD7924" w:rsidRDefault="000D235E" w:rsidP="000D235E">
      <w:pPr>
        <w:ind w:firstLine="360"/>
        <w:rPr>
          <w:b/>
        </w:rPr>
      </w:pPr>
      <w:r w:rsidRPr="00DD7924">
        <w:rPr>
          <w:b/>
        </w:rPr>
        <w:t>Current Performance</w:t>
      </w:r>
    </w:p>
    <w:p w:rsidR="000D235E" w:rsidRPr="00DD7924" w:rsidRDefault="000D235E" w:rsidP="000D235E">
      <w:pPr>
        <w:rPr>
          <w:b/>
        </w:rPr>
      </w:pPr>
    </w:p>
    <w:p w:rsidR="000D235E" w:rsidRPr="00DD7924" w:rsidRDefault="000D235E" w:rsidP="000D235E">
      <w:pPr>
        <w:numPr>
          <w:ilvl w:val="0"/>
          <w:numId w:val="2"/>
        </w:numPr>
        <w:contextualSpacing/>
        <w:rPr>
          <w:b/>
        </w:rPr>
      </w:pPr>
      <w:r w:rsidRPr="00DD7924">
        <w:t xml:space="preserve">A table showing the agreed measures under each priority, expected performance and current performance is attached as appendix A. </w:t>
      </w:r>
    </w:p>
    <w:p w:rsidR="000D235E" w:rsidRPr="00DD7924" w:rsidRDefault="000D235E" w:rsidP="000D235E">
      <w:pPr>
        <w:ind w:left="720"/>
        <w:contextualSpacing/>
        <w:rPr>
          <w:b/>
        </w:rPr>
      </w:pPr>
    </w:p>
    <w:p w:rsidR="000D235E" w:rsidRPr="00DD7924" w:rsidRDefault="000D235E" w:rsidP="000D235E">
      <w:pPr>
        <w:numPr>
          <w:ilvl w:val="0"/>
          <w:numId w:val="2"/>
        </w:numPr>
        <w:contextualSpacing/>
      </w:pPr>
      <w:r>
        <w:t xml:space="preserve">There are </w:t>
      </w:r>
      <w:r w:rsidR="001D6B32">
        <w:t xml:space="preserve">some </w:t>
      </w:r>
      <w:r>
        <w:t>indicators that are only reported on an annual basis and these will be reported in future reports following the release of the data.</w:t>
      </w:r>
      <w:r w:rsidRPr="00DD7924">
        <w:t xml:space="preserve"> </w:t>
      </w:r>
    </w:p>
    <w:p w:rsidR="000D235E" w:rsidRDefault="000D235E" w:rsidP="000D235E">
      <w:pPr>
        <w:ind w:left="720"/>
        <w:contextualSpacing/>
        <w:rPr>
          <w:b/>
        </w:rPr>
      </w:pPr>
    </w:p>
    <w:p w:rsidR="000D235E" w:rsidRPr="00DD7924" w:rsidRDefault="000D235E" w:rsidP="000D235E">
      <w:pPr>
        <w:numPr>
          <w:ilvl w:val="0"/>
          <w:numId w:val="2"/>
        </w:numPr>
        <w:contextualSpacing/>
      </w:pPr>
      <w:r>
        <w:t>For the indicators that can be regularly reported on, c</w:t>
      </w:r>
      <w:r w:rsidRPr="00DD7924">
        <w:t>urrent performance can be summarised as follows:</w:t>
      </w:r>
    </w:p>
    <w:p w:rsidR="000D235E" w:rsidRPr="00DD7924" w:rsidRDefault="000D235E" w:rsidP="000D235E">
      <w:pPr>
        <w:ind w:left="720"/>
        <w:contextualSpacing/>
      </w:pPr>
    </w:p>
    <w:p w:rsidR="000D235E" w:rsidRPr="00707E5F" w:rsidRDefault="00707E5F" w:rsidP="000D235E">
      <w:pPr>
        <w:ind w:left="720"/>
        <w:rPr>
          <w:i/>
        </w:rPr>
      </w:pPr>
      <w:r w:rsidRPr="00707E5F">
        <w:rPr>
          <w:b/>
          <w:i/>
          <w:color w:val="FF0000"/>
        </w:rPr>
        <w:t xml:space="preserve"> </w:t>
      </w:r>
      <w:r w:rsidRPr="00707E5F">
        <w:rPr>
          <w:b/>
          <w:i/>
        </w:rPr>
        <w:t>6</w:t>
      </w:r>
      <w:r w:rsidR="000D235E" w:rsidRPr="00707E5F">
        <w:rPr>
          <w:i/>
        </w:rPr>
        <w:t xml:space="preserve"> indicators are Green.</w:t>
      </w:r>
    </w:p>
    <w:p w:rsidR="000D235E" w:rsidRPr="00707E5F" w:rsidRDefault="00707E5F" w:rsidP="000D235E">
      <w:pPr>
        <w:ind w:left="720"/>
        <w:rPr>
          <w:i/>
        </w:rPr>
      </w:pPr>
      <w:r w:rsidRPr="00707E5F">
        <w:rPr>
          <w:i/>
        </w:rPr>
        <w:t xml:space="preserve"> </w:t>
      </w:r>
      <w:r w:rsidRPr="00707E5F">
        <w:rPr>
          <w:b/>
          <w:i/>
        </w:rPr>
        <w:t>4</w:t>
      </w:r>
      <w:r w:rsidR="000D235E" w:rsidRPr="00707E5F">
        <w:rPr>
          <w:i/>
        </w:rPr>
        <w:t xml:space="preserve"> indicator</w:t>
      </w:r>
      <w:r w:rsidR="00C72B91" w:rsidRPr="00707E5F">
        <w:rPr>
          <w:i/>
        </w:rPr>
        <w:t>s</w:t>
      </w:r>
      <w:r w:rsidR="000D235E" w:rsidRPr="00707E5F">
        <w:rPr>
          <w:i/>
        </w:rPr>
        <w:t xml:space="preserve"> </w:t>
      </w:r>
      <w:r w:rsidR="00C72B91" w:rsidRPr="00707E5F">
        <w:rPr>
          <w:i/>
        </w:rPr>
        <w:t>are</w:t>
      </w:r>
      <w:r w:rsidR="000D235E" w:rsidRPr="00707E5F">
        <w:rPr>
          <w:i/>
        </w:rPr>
        <w:t xml:space="preserve"> Amber (defined as within 5% of target).</w:t>
      </w:r>
    </w:p>
    <w:p w:rsidR="000D235E" w:rsidRPr="00707E5F" w:rsidRDefault="00707E5F" w:rsidP="000D235E">
      <w:pPr>
        <w:ind w:left="720"/>
        <w:rPr>
          <w:i/>
        </w:rPr>
      </w:pPr>
      <w:r>
        <w:rPr>
          <w:b/>
          <w:i/>
        </w:rPr>
        <w:t xml:space="preserve"> 0</w:t>
      </w:r>
      <w:r w:rsidR="000D235E" w:rsidRPr="00707E5F">
        <w:rPr>
          <w:b/>
          <w:i/>
        </w:rPr>
        <w:t xml:space="preserve"> </w:t>
      </w:r>
      <w:r w:rsidR="000D235E" w:rsidRPr="00707E5F">
        <w:rPr>
          <w:i/>
        </w:rPr>
        <w:t>indicators are Red</w:t>
      </w:r>
    </w:p>
    <w:p w:rsidR="000D235E" w:rsidRPr="00707E5F" w:rsidRDefault="00707E5F" w:rsidP="000D235E">
      <w:pPr>
        <w:ind w:left="720"/>
        <w:rPr>
          <w:i/>
        </w:rPr>
      </w:pPr>
      <w:r>
        <w:rPr>
          <w:b/>
          <w:i/>
          <w:color w:val="FF0000"/>
        </w:rPr>
        <w:t xml:space="preserve"> </w:t>
      </w:r>
      <w:r w:rsidRPr="00707E5F">
        <w:rPr>
          <w:b/>
          <w:i/>
        </w:rPr>
        <w:t>2</w:t>
      </w:r>
      <w:r w:rsidR="000D235E" w:rsidRPr="00707E5F">
        <w:rPr>
          <w:i/>
        </w:rPr>
        <w:t xml:space="preserve"> indicator</w:t>
      </w:r>
      <w:r w:rsidR="00C72B91" w:rsidRPr="00707E5F">
        <w:rPr>
          <w:i/>
        </w:rPr>
        <w:t>s</w:t>
      </w:r>
      <w:r w:rsidR="000D235E" w:rsidRPr="00707E5F">
        <w:rPr>
          <w:i/>
        </w:rPr>
        <w:t xml:space="preserve"> do</w:t>
      </w:r>
      <w:r>
        <w:rPr>
          <w:i/>
        </w:rPr>
        <w:t xml:space="preserve"> </w:t>
      </w:r>
      <w:r w:rsidR="000D235E" w:rsidRPr="00707E5F">
        <w:rPr>
          <w:i/>
        </w:rPr>
        <w:t>not yet have information available for Q</w:t>
      </w:r>
      <w:r w:rsidRPr="00707E5F">
        <w:rPr>
          <w:i/>
        </w:rPr>
        <w:t>4</w:t>
      </w:r>
      <w:r w:rsidR="00CA5B3A" w:rsidRPr="00707E5F">
        <w:rPr>
          <w:i/>
        </w:rPr>
        <w:t xml:space="preserve"> – these are indicators</w:t>
      </w:r>
      <w:r w:rsidR="001D6B32" w:rsidRPr="00707E5F">
        <w:rPr>
          <w:i/>
        </w:rPr>
        <w:t xml:space="preserve"> </w:t>
      </w:r>
      <w:r w:rsidRPr="00707E5F">
        <w:rPr>
          <w:i/>
        </w:rPr>
        <w:t>8.1 (Bowel screening data is usually 6 months in arrears) and 10.3 (</w:t>
      </w:r>
      <w:r>
        <w:rPr>
          <w:i/>
        </w:rPr>
        <w:t>H</w:t>
      </w:r>
      <w:r w:rsidRPr="00707E5F">
        <w:rPr>
          <w:rFonts w:eastAsia="Times New Roman"/>
          <w:lang w:eastAsia="en-GB"/>
        </w:rPr>
        <w:t>ouseholds presenting at risk of being homeless and known to District Housing services or District funded advice agencies will be prevented from becoming homeless</w:t>
      </w:r>
    </w:p>
    <w:p w:rsidR="000D235E" w:rsidRPr="00DD7924" w:rsidRDefault="000D235E" w:rsidP="000D235E">
      <w:pPr>
        <w:ind w:left="720"/>
        <w:contextualSpacing/>
      </w:pPr>
    </w:p>
    <w:p w:rsidR="000D235E" w:rsidRDefault="00707E5F" w:rsidP="000D235E">
      <w:pPr>
        <w:numPr>
          <w:ilvl w:val="0"/>
          <w:numId w:val="2"/>
        </w:numPr>
        <w:contextualSpacing/>
      </w:pPr>
      <w:r>
        <w:t>There will be a</w:t>
      </w:r>
      <w:r w:rsidR="00FD188D">
        <w:t xml:space="preserve"> Rough Sleeper report (deferred from May meeting)</w:t>
      </w:r>
      <w:r w:rsidR="00D825F6" w:rsidRPr="00707E5F">
        <w:t>.</w:t>
      </w:r>
      <w:r w:rsidR="00D825F6">
        <w:t xml:space="preserve"> </w:t>
      </w:r>
    </w:p>
    <w:p w:rsidR="000D235E" w:rsidRPr="00DD7924" w:rsidRDefault="000D235E" w:rsidP="000D235E">
      <w:pPr>
        <w:rPr>
          <w:b/>
        </w:rPr>
      </w:pPr>
    </w:p>
    <w:p w:rsidR="000D235E" w:rsidRPr="00D46C21" w:rsidRDefault="001D6B32" w:rsidP="000D235E">
      <w:pPr>
        <w:ind w:firstLine="720"/>
      </w:pPr>
      <w:r>
        <w:t xml:space="preserve">Sue </w:t>
      </w:r>
      <w:proofErr w:type="spellStart"/>
      <w:r>
        <w:t>Lygo</w:t>
      </w:r>
      <w:proofErr w:type="spellEnd"/>
    </w:p>
    <w:p w:rsidR="000D235E" w:rsidRPr="00D46C21" w:rsidRDefault="001D6B32" w:rsidP="000D235E">
      <w:pPr>
        <w:ind w:firstLine="720"/>
      </w:pPr>
      <w:r>
        <w:t>Health Improvement Practitioner</w:t>
      </w:r>
    </w:p>
    <w:p w:rsidR="000D235E" w:rsidRPr="00FD188D" w:rsidRDefault="00FD188D" w:rsidP="000D235E">
      <w:pPr>
        <w:ind w:firstLine="720"/>
      </w:pPr>
      <w:r w:rsidRPr="00FD188D">
        <w:t>28 August 2018</w:t>
      </w:r>
    </w:p>
    <w:p w:rsidR="000D235E" w:rsidRPr="00D46C21" w:rsidRDefault="000D235E" w:rsidP="000D235E">
      <w:pPr>
        <w:jc w:val="center"/>
        <w:rPr>
          <w:b/>
        </w:rPr>
      </w:pPr>
    </w:p>
    <w:p w:rsidR="00F34329" w:rsidRDefault="000D235E" w:rsidP="000D235E">
      <w:pPr>
        <w:rPr>
          <w:b/>
        </w:rPr>
        <w:sectPr w:rsidR="00F34329" w:rsidSect="00F31568">
          <w:headerReference w:type="default" r:id="rId9"/>
          <w:footerReference w:type="default" r:id="rId10"/>
          <w:type w:val="continuous"/>
          <w:pgSz w:w="11906" w:h="16838"/>
          <w:pgMar w:top="0" w:right="991" w:bottom="720" w:left="567" w:header="709" w:footer="709" w:gutter="0"/>
          <w:cols w:space="708"/>
          <w:docGrid w:linePitch="360"/>
        </w:sectPr>
      </w:pPr>
      <w:r w:rsidRPr="00D46C21">
        <w:br w:type="page"/>
      </w:r>
    </w:p>
    <w:p w:rsidR="00000A1B" w:rsidRPr="002075EB" w:rsidRDefault="00000A1B" w:rsidP="00000A1B">
      <w:pPr>
        <w:jc w:val="center"/>
        <w:rPr>
          <w:b/>
        </w:rPr>
      </w:pPr>
      <w:r w:rsidRPr="002075EB">
        <w:rPr>
          <w:b/>
        </w:rPr>
        <w:lastRenderedPageBreak/>
        <w:t>Oxfordshire Health and Wellbeing Board</w:t>
      </w:r>
    </w:p>
    <w:p w:rsidR="00000A1B" w:rsidRPr="002075EB" w:rsidRDefault="00000A1B" w:rsidP="00000A1B">
      <w:pPr>
        <w:jc w:val="center"/>
        <w:rPr>
          <w:b/>
        </w:rPr>
      </w:pPr>
      <w:r w:rsidRPr="002075EB">
        <w:rPr>
          <w:b/>
        </w:rPr>
        <w:t>Performance Report</w:t>
      </w:r>
      <w:r w:rsidR="00661280">
        <w:rPr>
          <w:b/>
        </w:rPr>
        <w:t xml:space="preserve"> 2017/18 Q4</w:t>
      </w:r>
    </w:p>
    <w:p w:rsidR="00000A1B" w:rsidRPr="002075EB" w:rsidRDefault="00000A1B" w:rsidP="00000A1B">
      <w:pPr>
        <w:jc w:val="center"/>
      </w:pPr>
    </w:p>
    <w:p w:rsidR="00F406CB" w:rsidRDefault="00F406CB"/>
    <w:tbl>
      <w:tblPr>
        <w:tblStyle w:val="TableGrid1"/>
        <w:tblpPr w:leftFromText="180" w:rightFromText="180" w:vertAnchor="text" w:tblpY="1"/>
        <w:tblOverlap w:val="never"/>
        <w:tblW w:w="15563" w:type="dxa"/>
        <w:tblLayout w:type="fixed"/>
        <w:tblLook w:val="04A0" w:firstRow="1" w:lastRow="0" w:firstColumn="1" w:lastColumn="0" w:noHBand="0" w:noVBand="1"/>
      </w:tblPr>
      <w:tblGrid>
        <w:gridCol w:w="679"/>
        <w:gridCol w:w="4820"/>
        <w:gridCol w:w="1701"/>
        <w:gridCol w:w="875"/>
        <w:gridCol w:w="401"/>
        <w:gridCol w:w="875"/>
        <w:gridCol w:w="425"/>
        <w:gridCol w:w="851"/>
        <w:gridCol w:w="425"/>
        <w:gridCol w:w="850"/>
        <w:gridCol w:w="426"/>
        <w:gridCol w:w="3235"/>
      </w:tblGrid>
      <w:tr w:rsidR="00661280" w:rsidRPr="00055972" w:rsidTr="00661280">
        <w:tc>
          <w:tcPr>
            <w:tcW w:w="679" w:type="dxa"/>
          </w:tcPr>
          <w:p w:rsidR="00865071" w:rsidRPr="00055972" w:rsidRDefault="00865071" w:rsidP="00B6178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0" w:type="dxa"/>
          </w:tcPr>
          <w:p w:rsidR="00865071" w:rsidRPr="00055972" w:rsidRDefault="00865071" w:rsidP="00B61787">
            <w:pPr>
              <w:rPr>
                <w:b/>
              </w:rPr>
            </w:pPr>
            <w:r w:rsidRPr="00055972">
              <w:rPr>
                <w:b/>
              </w:rPr>
              <w:t>Indicator</w:t>
            </w:r>
          </w:p>
        </w:tc>
        <w:tc>
          <w:tcPr>
            <w:tcW w:w="1701" w:type="dxa"/>
          </w:tcPr>
          <w:p w:rsidR="00865071" w:rsidRPr="00232354" w:rsidRDefault="00865071" w:rsidP="00B61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875" w:type="dxa"/>
          </w:tcPr>
          <w:p w:rsidR="00865071" w:rsidRPr="00232354" w:rsidRDefault="00865071" w:rsidP="00B61787">
            <w:pPr>
              <w:jc w:val="center"/>
              <w:rPr>
                <w:b/>
                <w:sz w:val="22"/>
                <w:szCs w:val="22"/>
              </w:rPr>
            </w:pPr>
            <w:r w:rsidRPr="00232354">
              <w:rPr>
                <w:b/>
                <w:sz w:val="22"/>
                <w:szCs w:val="22"/>
              </w:rPr>
              <w:t xml:space="preserve">Q1 </w:t>
            </w:r>
          </w:p>
          <w:p w:rsidR="00865071" w:rsidRPr="00055972" w:rsidRDefault="00865071" w:rsidP="00B61787">
            <w:pPr>
              <w:jc w:val="center"/>
              <w:rPr>
                <w:b/>
              </w:rPr>
            </w:pPr>
            <w:r w:rsidRPr="00232354">
              <w:rPr>
                <w:b/>
                <w:sz w:val="22"/>
                <w:szCs w:val="22"/>
              </w:rPr>
              <w:t>Apr-Jun</w:t>
            </w:r>
          </w:p>
        </w:tc>
        <w:tc>
          <w:tcPr>
            <w:tcW w:w="401" w:type="dxa"/>
          </w:tcPr>
          <w:p w:rsidR="00865071" w:rsidRPr="00055972" w:rsidRDefault="00865071" w:rsidP="00B61787">
            <w:pPr>
              <w:jc w:val="center"/>
              <w:rPr>
                <w:b/>
              </w:rPr>
            </w:pPr>
            <w:r w:rsidRPr="00441E13">
              <w:rPr>
                <w:b/>
                <w:sz w:val="16"/>
              </w:rPr>
              <w:t>RAG</w:t>
            </w:r>
          </w:p>
        </w:tc>
        <w:tc>
          <w:tcPr>
            <w:tcW w:w="875" w:type="dxa"/>
          </w:tcPr>
          <w:p w:rsidR="00865071" w:rsidRPr="00232354" w:rsidRDefault="00865071" w:rsidP="00B61787">
            <w:pPr>
              <w:jc w:val="center"/>
              <w:rPr>
                <w:b/>
                <w:sz w:val="22"/>
                <w:szCs w:val="22"/>
              </w:rPr>
            </w:pPr>
            <w:r w:rsidRPr="00232354">
              <w:rPr>
                <w:b/>
                <w:sz w:val="22"/>
                <w:szCs w:val="22"/>
              </w:rPr>
              <w:t xml:space="preserve">Q2 </w:t>
            </w:r>
          </w:p>
          <w:p w:rsidR="00865071" w:rsidRPr="00055972" w:rsidRDefault="00865071" w:rsidP="00B61787">
            <w:pPr>
              <w:jc w:val="center"/>
              <w:rPr>
                <w:b/>
              </w:rPr>
            </w:pPr>
            <w:r w:rsidRPr="00232354">
              <w:rPr>
                <w:b/>
                <w:sz w:val="22"/>
                <w:szCs w:val="22"/>
              </w:rPr>
              <w:t>Jul-Sept</w:t>
            </w:r>
          </w:p>
        </w:tc>
        <w:tc>
          <w:tcPr>
            <w:tcW w:w="425" w:type="dxa"/>
          </w:tcPr>
          <w:p w:rsidR="00865071" w:rsidRPr="00055972" w:rsidRDefault="00865071" w:rsidP="00B61787">
            <w:pPr>
              <w:jc w:val="center"/>
              <w:rPr>
                <w:b/>
              </w:rPr>
            </w:pPr>
            <w:r w:rsidRPr="00441E13">
              <w:rPr>
                <w:b/>
                <w:sz w:val="16"/>
              </w:rPr>
              <w:t>RAG</w:t>
            </w:r>
          </w:p>
        </w:tc>
        <w:tc>
          <w:tcPr>
            <w:tcW w:w="851" w:type="dxa"/>
          </w:tcPr>
          <w:p w:rsidR="00865071" w:rsidRPr="00232354" w:rsidRDefault="00865071" w:rsidP="00B61787">
            <w:pPr>
              <w:jc w:val="center"/>
              <w:rPr>
                <w:b/>
                <w:sz w:val="22"/>
                <w:szCs w:val="22"/>
              </w:rPr>
            </w:pPr>
            <w:r w:rsidRPr="00232354">
              <w:rPr>
                <w:b/>
                <w:sz w:val="22"/>
                <w:szCs w:val="22"/>
              </w:rPr>
              <w:t>Q3 Oct-Dec</w:t>
            </w:r>
          </w:p>
        </w:tc>
        <w:tc>
          <w:tcPr>
            <w:tcW w:w="425" w:type="dxa"/>
          </w:tcPr>
          <w:p w:rsidR="00865071" w:rsidRPr="00055972" w:rsidRDefault="00865071" w:rsidP="00B61787">
            <w:pPr>
              <w:jc w:val="center"/>
              <w:rPr>
                <w:b/>
              </w:rPr>
            </w:pPr>
            <w:r w:rsidRPr="00441E13">
              <w:rPr>
                <w:b/>
                <w:sz w:val="16"/>
              </w:rPr>
              <w:t>RAG</w:t>
            </w:r>
          </w:p>
        </w:tc>
        <w:tc>
          <w:tcPr>
            <w:tcW w:w="850" w:type="dxa"/>
          </w:tcPr>
          <w:p w:rsidR="00865071" w:rsidRPr="00055972" w:rsidRDefault="00865071" w:rsidP="00B61787">
            <w:pPr>
              <w:jc w:val="center"/>
              <w:rPr>
                <w:b/>
              </w:rPr>
            </w:pPr>
            <w:r w:rsidRPr="00232354">
              <w:rPr>
                <w:b/>
                <w:sz w:val="22"/>
                <w:szCs w:val="22"/>
              </w:rPr>
              <w:t>Q4 Jan-Mar</w:t>
            </w:r>
          </w:p>
        </w:tc>
        <w:tc>
          <w:tcPr>
            <w:tcW w:w="426" w:type="dxa"/>
          </w:tcPr>
          <w:p w:rsidR="00865071" w:rsidRPr="00055972" w:rsidRDefault="00865071" w:rsidP="00B61787">
            <w:pPr>
              <w:jc w:val="center"/>
              <w:rPr>
                <w:b/>
              </w:rPr>
            </w:pPr>
            <w:r w:rsidRPr="00441E13">
              <w:rPr>
                <w:b/>
                <w:sz w:val="16"/>
              </w:rPr>
              <w:t>RAG</w:t>
            </w:r>
          </w:p>
        </w:tc>
        <w:tc>
          <w:tcPr>
            <w:tcW w:w="3235" w:type="dxa"/>
          </w:tcPr>
          <w:p w:rsidR="00865071" w:rsidRPr="00055972" w:rsidRDefault="00865071" w:rsidP="00B61787">
            <w:pPr>
              <w:rPr>
                <w:b/>
              </w:rPr>
            </w:pPr>
            <w:r w:rsidRPr="00055972">
              <w:rPr>
                <w:b/>
              </w:rPr>
              <w:t>Notes</w:t>
            </w:r>
          </w:p>
        </w:tc>
      </w:tr>
    </w:tbl>
    <w:p w:rsidR="00B5511A" w:rsidRDefault="00B5511A" w:rsidP="000F29EF"/>
    <w:p w:rsidR="00661280" w:rsidRDefault="00661280" w:rsidP="000F29EF"/>
    <w:p w:rsidR="00661280" w:rsidRDefault="00661280" w:rsidP="000F29EF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1575"/>
        <w:gridCol w:w="835"/>
        <w:gridCol w:w="380"/>
        <w:gridCol w:w="896"/>
        <w:gridCol w:w="380"/>
        <w:gridCol w:w="896"/>
        <w:gridCol w:w="380"/>
        <w:gridCol w:w="895"/>
        <w:gridCol w:w="380"/>
        <w:gridCol w:w="3306"/>
      </w:tblGrid>
      <w:tr w:rsidR="00661280" w:rsidRPr="002075EB" w:rsidTr="00661280">
        <w:trPr>
          <w:trHeight w:val="578"/>
        </w:trPr>
        <w:tc>
          <w:tcPr>
            <w:tcW w:w="15588" w:type="dxa"/>
            <w:gridSpan w:val="12"/>
            <w:shd w:val="clear" w:color="auto" w:fill="FDE9D9" w:themeFill="accent6" w:themeFillTint="33"/>
            <w:vAlign w:val="center"/>
          </w:tcPr>
          <w:p w:rsidR="00661280" w:rsidRPr="008E2486" w:rsidRDefault="00661280" w:rsidP="00B61787">
            <w:pPr>
              <w:rPr>
                <w:b/>
                <w:u w:val="single"/>
                <w:lang w:eastAsia="en-GB"/>
              </w:rPr>
            </w:pPr>
            <w:r w:rsidRPr="009F7F7E">
              <w:rPr>
                <w:b/>
                <w:lang w:eastAsia="en-GB"/>
              </w:rPr>
              <w:t xml:space="preserve">Priority 8: </w:t>
            </w:r>
            <w:r w:rsidRPr="009F7F7E">
              <w:rPr>
                <w:b/>
                <w:lang w:eastAsia="en-GB"/>
              </w:rPr>
              <w:tab/>
              <w:t>Preventing early death and improving quality of life in later years</w:t>
            </w:r>
          </w:p>
        </w:tc>
      </w:tr>
      <w:tr w:rsidR="00661280" w:rsidRPr="00D66BE5" w:rsidTr="00AE4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right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At least 60% of those sent bowel screening packs will complete and return them (aged 60-74 years) - and adequately screened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Data at least six months in arrears. </w:t>
            </w:r>
          </w:p>
        </w:tc>
      </w:tr>
      <w:tr w:rsidR="00A860E9" w:rsidRPr="00D66BE5" w:rsidTr="0075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At least 95% of the eligible population 40-74 will have been invited for a health check between 1/4/2013 and 31/3/2018.  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95% over 5-year period</w:t>
            </w:r>
            <w:r w:rsidRPr="00661280">
              <w:rPr>
                <w:color w:val="000000"/>
                <w:sz w:val="20"/>
                <w:szCs w:val="20"/>
              </w:rPr>
              <w:br/>
              <w:t>Q1 84%, Q2 88%,</w:t>
            </w:r>
            <w:r w:rsidRPr="00661280">
              <w:rPr>
                <w:color w:val="000000"/>
                <w:sz w:val="20"/>
                <w:szCs w:val="20"/>
              </w:rPr>
              <w:br/>
              <w:t>Q3 92%, Q4 95%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85.2%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90.7%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95.1%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CA4D2B" w:rsidP="00A860E9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All CCG localities have invited over 90% of the eligible population at the end of Q4 (range 94% to 100%)</w:t>
            </w:r>
          </w:p>
        </w:tc>
      </w:tr>
      <w:tr w:rsidR="00A860E9" w:rsidRPr="00D66BE5" w:rsidTr="00CA4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color w:val="000000"/>
                <w:sz w:val="20"/>
                <w:szCs w:val="20"/>
              </w:rPr>
              <w:t>No CCG locality should record less than 80%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A860E9" w:rsidRPr="00D66BE5" w:rsidTr="00CA4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At least 45% of the eligible population 40-74 will have received a health check between 1/4/2013 and 31/3/2018.  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45% over 5-year period</w:t>
            </w:r>
            <w:r w:rsidRPr="00661280">
              <w:rPr>
                <w:color w:val="000000"/>
                <w:sz w:val="20"/>
                <w:szCs w:val="20"/>
              </w:rPr>
              <w:br/>
              <w:t>Q1 42%, Q2 43%,</w:t>
            </w:r>
            <w:r w:rsidRPr="00661280">
              <w:rPr>
                <w:color w:val="000000"/>
                <w:sz w:val="20"/>
                <w:szCs w:val="20"/>
              </w:rPr>
              <w:br/>
              <w:t>Q3 44%, Q4 45%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42.3%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44.7%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47.3%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49.8%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860E9" w:rsidRPr="00661280" w:rsidRDefault="00A860E9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CA4D2B" w:rsidP="00661280">
            <w:pPr>
              <w:rPr>
                <w:color w:val="FF0000"/>
                <w:sz w:val="20"/>
                <w:szCs w:val="20"/>
              </w:rPr>
            </w:pPr>
            <w:r w:rsidRPr="005D5334">
              <w:rPr>
                <w:sz w:val="20"/>
                <w:szCs w:val="20"/>
              </w:rPr>
              <w:t>No CCG locality has recorded less than 40% (range 42% to 54%)</w:t>
            </w:r>
          </w:p>
        </w:tc>
      </w:tr>
      <w:tr w:rsidR="00A860E9" w:rsidRPr="00D66BE5" w:rsidTr="0075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color w:val="000000"/>
                <w:sz w:val="20"/>
                <w:szCs w:val="20"/>
              </w:rPr>
              <w:t>No CCG locality should record less than 40%.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E9" w:rsidRPr="00661280" w:rsidRDefault="00A860E9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280" w:rsidRPr="00D66BE5" w:rsidTr="00AE4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right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Rate of successful quitters per 100,000 smokers aged 18+ should exceed the baseline set in 2017-18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&gt;2315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2432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2159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2219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2337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80" w:rsidRPr="00D66BE5" w:rsidTr="00AE4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right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The number of women smoking in pregnancy should remain below 8% recorded at time of delivery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&lt;8%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8.0%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7.5%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7.9%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7.4%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661280" w:rsidRPr="00D66BE5" w:rsidTr="00AE4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right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Oxfordshire performance for the proportion of opiate users who successfully complete treatment. 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&gt;6.8%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8.4%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8.3%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8.8%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80" w:rsidRPr="00D66BE5" w:rsidTr="00AE4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E4FFE" w:rsidRDefault="00AE4FFE">
      <w:r>
        <w:br w:type="page"/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850"/>
        <w:gridCol w:w="425"/>
        <w:gridCol w:w="64"/>
        <w:gridCol w:w="787"/>
        <w:gridCol w:w="425"/>
        <w:gridCol w:w="851"/>
        <w:gridCol w:w="425"/>
        <w:gridCol w:w="850"/>
        <w:gridCol w:w="284"/>
        <w:gridCol w:w="3334"/>
        <w:gridCol w:w="68"/>
      </w:tblGrid>
      <w:tr w:rsidR="00AE4FFE" w:rsidRPr="00D66BE5" w:rsidTr="00AE4FFE">
        <w:trPr>
          <w:trHeight w:val="3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right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Oxfordshire performance for the proportion of non-opiate users who successfully complete treatment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&gt;37.3%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44.6%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45.6%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39.5%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34.1%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280" w:rsidRPr="00661280" w:rsidRDefault="00661280" w:rsidP="0066128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661280"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AE4FFE" w:rsidRPr="00D66BE5" w:rsidTr="00AE4FFE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Pr="00D66BE5" w:rsidRDefault="00661280" w:rsidP="00B61787">
            <w:pPr>
              <w:rPr>
                <w:rFonts w:eastAsia="Times New Roman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661280" w:rsidRPr="002075EB" w:rsidTr="00AE4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8"/>
        </w:trPr>
        <w:tc>
          <w:tcPr>
            <w:tcW w:w="15588" w:type="dxa"/>
            <w:gridSpan w:val="14"/>
            <w:shd w:val="clear" w:color="auto" w:fill="FDE9D9" w:themeFill="accent6" w:themeFillTint="33"/>
            <w:vAlign w:val="center"/>
          </w:tcPr>
          <w:p w:rsidR="00661280" w:rsidRPr="008E2486" w:rsidRDefault="00661280" w:rsidP="00B61787">
            <w:pPr>
              <w:rPr>
                <w:b/>
                <w:u w:val="single"/>
                <w:lang w:eastAsia="en-GB"/>
              </w:rPr>
            </w:pPr>
            <w:r w:rsidRPr="009F7F7E">
              <w:rPr>
                <w:b/>
                <w:lang w:eastAsia="en-GB"/>
              </w:rPr>
              <w:t xml:space="preserve">Priority </w:t>
            </w:r>
            <w:r>
              <w:rPr>
                <w:b/>
                <w:lang w:eastAsia="en-GB"/>
              </w:rPr>
              <w:t>9</w:t>
            </w:r>
            <w:r w:rsidRPr="009F7F7E">
              <w:rPr>
                <w:b/>
                <w:lang w:eastAsia="en-GB"/>
              </w:rPr>
              <w:t xml:space="preserve">: </w:t>
            </w:r>
            <w:r w:rsidRPr="009F7F7E">
              <w:rPr>
                <w:b/>
                <w:lang w:eastAsia="en-GB"/>
              </w:rPr>
              <w:tab/>
            </w:r>
            <w:r w:rsidRPr="002075EB">
              <w:rPr>
                <w:b/>
                <w:lang w:eastAsia="en-GB"/>
              </w:rPr>
              <w:t>Preventing chronic disease through tackling obesity</w:t>
            </w:r>
          </w:p>
        </w:tc>
      </w:tr>
      <w:tr w:rsidR="00661280" w:rsidRPr="00661280" w:rsidTr="00AE4FFE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Ensure that obesity level in Year 6 children is held at below 16% (in 2016 this was 16.0%) </w:t>
            </w: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 xml:space="preserve">No district population should record more than 19% (NCMP)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&lt;=16%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16.8%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Cherwell 18.8%; Oxford 21.3%; South Oxfordshire 12.9%; Vale of White Horse 16%; West Oxfordshire 14.7%</w:t>
            </w:r>
          </w:p>
        </w:tc>
      </w:tr>
      <w:tr w:rsidR="00661280" w:rsidRPr="00661280" w:rsidTr="00AE4FFE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Reduce by 0.5% the percentage of adults classified as "inactive"</w:t>
            </w: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 xml:space="preserve"> (Oxfordshire baseline Nov 2016 of 17%).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Reduce by 0.5% from baseline (17%)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18.6%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Nov. 18 next release (note change of definition from 16+ to 19+)</w:t>
            </w:r>
          </w:p>
        </w:tc>
      </w:tr>
      <w:tr w:rsidR="00AE4FFE" w:rsidRPr="00661280" w:rsidTr="00AE4FFE">
        <w:trPr>
          <w:trHeight w:val="69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63% of babies are breastfed at 6-8 weeks of age (county).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60.1%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62.3%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59.8%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61.9%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4FFE" w:rsidRPr="00661280" w:rsidTr="00AE4FFE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612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KEEP UNDER SURVEILLANCE IN 2017/18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280" w:rsidRPr="00661280" w:rsidRDefault="00661280" w:rsidP="00661280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280" w:rsidRPr="002075EB" w:rsidTr="00AE4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8"/>
        </w:trPr>
        <w:tc>
          <w:tcPr>
            <w:tcW w:w="15588" w:type="dxa"/>
            <w:gridSpan w:val="14"/>
            <w:shd w:val="clear" w:color="auto" w:fill="FDE9D9" w:themeFill="accent6" w:themeFillTint="33"/>
            <w:vAlign w:val="center"/>
          </w:tcPr>
          <w:p w:rsidR="00661280" w:rsidRPr="008E2486" w:rsidRDefault="00661280" w:rsidP="00B61787">
            <w:pPr>
              <w:rPr>
                <w:b/>
                <w:u w:val="single"/>
                <w:lang w:eastAsia="en-GB"/>
              </w:rPr>
            </w:pPr>
            <w:r w:rsidRPr="009F7F7E">
              <w:rPr>
                <w:b/>
                <w:lang w:eastAsia="en-GB"/>
              </w:rPr>
              <w:t xml:space="preserve">Priority </w:t>
            </w:r>
            <w:r>
              <w:rPr>
                <w:b/>
                <w:lang w:eastAsia="en-GB"/>
              </w:rPr>
              <w:t>10</w:t>
            </w:r>
            <w:r w:rsidRPr="009F7F7E">
              <w:rPr>
                <w:b/>
                <w:lang w:eastAsia="en-GB"/>
              </w:rPr>
              <w:t xml:space="preserve">: </w:t>
            </w:r>
            <w:r w:rsidRPr="009F7F7E">
              <w:rPr>
                <w:b/>
                <w:lang w:eastAsia="en-GB"/>
              </w:rPr>
              <w:tab/>
            </w:r>
            <w:r w:rsidRPr="00661280">
              <w:rPr>
                <w:b/>
                <w:lang w:eastAsia="en-GB"/>
              </w:rPr>
              <w:t>Tackling the broader determinants of health through better housing and preventing homelessness</w:t>
            </w:r>
          </w:p>
        </w:tc>
      </w:tr>
      <w:tr w:rsidR="00AE4FFE" w:rsidRPr="00AE4FFE" w:rsidTr="00A860E9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The number of households in temporary accommodation on 31 March 2018 should be no greater than level reported in March 2017 (baseline161 households in Oxfordshire 2016-17).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≥161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4FFE" w:rsidRPr="00AE4FFE" w:rsidTr="00AE4FFE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At least 75% of people receiving housing related support will depart services to take up independent living (baseline 87.3% in 2016-17)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≥75%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85.6%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83.1%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80.3%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84.0%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8B1DA1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Data incomplete due to some contractors not providing data. </w:t>
            </w:r>
            <w:r w:rsidR="00AE4FFE"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Total for year (Quarters combined) = 83.4%</w:t>
            </w:r>
          </w:p>
        </w:tc>
      </w:tr>
      <w:tr w:rsidR="00AE4FFE" w:rsidRPr="00AE4FFE" w:rsidTr="00AE4FFE">
        <w:trPr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At least 80% of households presenting at risk of being homeless and known to District Housing services or District funded advice agencies will be prevented from becoming homeless (baseline 80% in 2016-17).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4FFE" w:rsidRPr="00AE4FFE" w:rsidTr="00AE4FFE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Ensure that the number of people estimated to be sleeping rough in Oxfordshire does not exceed the baseline figure from 2016-17 (baseline 79)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≥79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8B1DA1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B1DA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4FFE" w:rsidRPr="00AE4FFE" w:rsidTr="00AE4FFE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10.5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At least 70% of young people leaving supported housing services will have positive outcomes in 2017-18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&lt;=70% </w:t>
            </w: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Aspire 95%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63.1%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55.3%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55.2%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A1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B1DA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Q1 to Q4 combined</w:t>
            </w:r>
            <w:r w:rsidR="008B1DA1" w:rsidRPr="008B1DA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:rsidR="00AE4FFE" w:rsidRPr="008B1DA1" w:rsidRDefault="008B1DA1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</w:rPr>
              <w:t xml:space="preserve">The </w:t>
            </w:r>
            <w:r w:rsidRPr="008B1DA1">
              <w:rPr>
                <w:color w:val="000000"/>
                <w:sz w:val="20"/>
              </w:rPr>
              <w:t>reduction in number of YP leaving singles pathway and moving on to greater independence</w:t>
            </w:r>
            <w:r>
              <w:rPr>
                <w:color w:val="000000"/>
                <w:sz w:val="20"/>
              </w:rPr>
              <w:t xml:space="preserve"> </w:t>
            </w:r>
            <w:r w:rsidRPr="008B1DA1">
              <w:rPr>
                <w:color w:val="000000"/>
                <w:sz w:val="20"/>
              </w:rPr>
              <w:t>has been steadily dropping.  Reasons behind this are varied but may include difficulties in finding move on accommodation and increasing complexity of YP entering pathway. </w:t>
            </w:r>
          </w:p>
        </w:tc>
      </w:tr>
      <w:tr w:rsidR="00AE4FFE" w:rsidRPr="00AE4FFE" w:rsidTr="00AE4FFE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At least 1430 residents are helped per year over the next 4 years where building based measures account for 25% of those interventions by the final year.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 TARGET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860E9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860E9" w:rsidP="0053706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Fuel poverty interventions for Q3 and Q4 (as reported previously)</w:t>
            </w:r>
          </w:p>
        </w:tc>
      </w:tr>
      <w:tr w:rsidR="00AE4FFE" w:rsidRPr="00AE4FFE" w:rsidTr="00AE4FF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KEEP UNDER SURVEILLANCE in 2017/18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4FFE" w:rsidRPr="002075EB" w:rsidTr="00AE4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8"/>
        </w:trPr>
        <w:tc>
          <w:tcPr>
            <w:tcW w:w="15588" w:type="dxa"/>
            <w:gridSpan w:val="14"/>
            <w:shd w:val="clear" w:color="auto" w:fill="FDE9D9" w:themeFill="accent6" w:themeFillTint="33"/>
            <w:vAlign w:val="center"/>
          </w:tcPr>
          <w:p w:rsidR="00AE4FFE" w:rsidRPr="008E2486" w:rsidRDefault="00AE4FFE" w:rsidP="00B61787">
            <w:pPr>
              <w:rPr>
                <w:b/>
                <w:u w:val="single"/>
                <w:lang w:eastAsia="en-GB"/>
              </w:rPr>
            </w:pPr>
            <w:r w:rsidRPr="009F7F7E">
              <w:rPr>
                <w:b/>
                <w:lang w:eastAsia="en-GB"/>
              </w:rPr>
              <w:t xml:space="preserve">Priority </w:t>
            </w:r>
            <w:r>
              <w:rPr>
                <w:b/>
                <w:lang w:eastAsia="en-GB"/>
              </w:rPr>
              <w:t>11</w:t>
            </w:r>
            <w:r w:rsidRPr="009F7F7E">
              <w:rPr>
                <w:b/>
                <w:lang w:eastAsia="en-GB"/>
              </w:rPr>
              <w:t xml:space="preserve">: </w:t>
            </w:r>
            <w:r w:rsidRPr="009F7F7E">
              <w:rPr>
                <w:b/>
                <w:lang w:eastAsia="en-GB"/>
              </w:rPr>
              <w:tab/>
            </w:r>
            <w:r w:rsidRPr="00AE4FFE">
              <w:rPr>
                <w:b/>
                <w:lang w:eastAsia="en-GB"/>
              </w:rPr>
              <w:t>Preventing infectious disease through immunisation</w:t>
            </w:r>
          </w:p>
        </w:tc>
      </w:tr>
      <w:tr w:rsidR="00AE4FFE" w:rsidRPr="00AE4FFE" w:rsidTr="00AE4FFE">
        <w:trPr>
          <w:gridAfter w:val="1"/>
          <w:wAfter w:w="68" w:type="dxa"/>
          <w:trHeight w:val="9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1 At least 95% children receive dose 1 of MMR (measles, mumps, </w:t>
            </w:r>
            <w:proofErr w:type="gramStart"/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rubella</w:t>
            </w:r>
            <w:proofErr w:type="gramEnd"/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) vaccination by age 2 (currently 94.6%)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95.0%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94.6%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93.2%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93.4%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4FFE" w:rsidRPr="00AE4FFE" w:rsidTr="00AE4FFE">
        <w:trPr>
          <w:gridAfter w:val="1"/>
          <w:wAfter w:w="68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 CCG locality should perform below 94%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4FFE" w:rsidRPr="00AE4FFE" w:rsidTr="00AE4FFE">
        <w:trPr>
          <w:gridAfter w:val="1"/>
          <w:wAfter w:w="68" w:type="dxa"/>
          <w:trHeight w:val="9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 At least 95% children receive dose 2 of MMR (measles, mumps, </w:t>
            </w:r>
            <w:proofErr w:type="gramStart"/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rubella</w:t>
            </w:r>
            <w:proofErr w:type="gramEnd"/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) vaccination by age 5 (currently 93.1%)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93.6%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93.0%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91.5%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90.3%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4FFE" w:rsidRPr="00AE4FFE" w:rsidTr="00AE4FFE">
        <w:trPr>
          <w:gridAfter w:val="1"/>
          <w:wAfter w:w="68" w:type="dxa"/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 CCG locality should perform below 94%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4FFE" w:rsidRPr="00AE4FFE" w:rsidTr="00AE4FFE">
        <w:trPr>
          <w:gridAfter w:val="1"/>
          <w:wAfter w:w="68" w:type="dxa"/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At least 55% of people aged under 65 in “risk groups” receive flu vaccination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≥ 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52.4%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This is lower than the target of 55%.</w:t>
            </w:r>
          </w:p>
        </w:tc>
      </w:tr>
      <w:tr w:rsidR="00AE4FFE" w:rsidRPr="00AE4FFE" w:rsidTr="00AE4FFE">
        <w:trPr>
          <w:gridAfter w:val="1"/>
          <w:wAfter w:w="68" w:type="dxa"/>
          <w:trHeight w:val="6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At least 90% of young women to receive both doses of HPV vaccination.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≥  90%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D9D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FFE" w:rsidRPr="00AE4FFE" w:rsidRDefault="00AE4FFE" w:rsidP="00AE4F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FE" w:rsidRPr="00AE4FFE" w:rsidRDefault="00AE4FFE" w:rsidP="0053706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Data available annually for school year Sept-Aug</w:t>
            </w:r>
            <w:r w:rsidR="0053706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published after September.</w:t>
            </w:r>
          </w:p>
        </w:tc>
      </w:tr>
      <w:tr w:rsidR="00AE4FFE" w:rsidRPr="00AE4FFE" w:rsidTr="00AE4FFE">
        <w:trPr>
          <w:gridAfter w:val="1"/>
          <w:wAfter w:w="68" w:type="dxa"/>
          <w:trHeight w:val="2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E4F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KEEP UNDER SURVEILLANCE in 2017/18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FE" w:rsidRPr="00AE4FFE" w:rsidRDefault="00AE4FFE" w:rsidP="00AE4FF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61280" w:rsidRPr="002075EB" w:rsidRDefault="00661280" w:rsidP="000F29EF"/>
    <w:sectPr w:rsidR="00661280" w:rsidRPr="002075EB" w:rsidSect="00F34329">
      <w:type w:val="continuous"/>
      <w:pgSz w:w="16838" w:h="11906" w:orient="landscape"/>
      <w:pgMar w:top="567" w:right="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32" w:rsidRDefault="001D6B32">
      <w:r>
        <w:separator/>
      </w:r>
    </w:p>
  </w:endnote>
  <w:endnote w:type="continuationSeparator" w:id="0">
    <w:p w:rsidR="001D6B32" w:rsidRDefault="001D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32" w:rsidRDefault="001D6B32">
    <w:pPr>
      <w:pStyle w:val="Footer"/>
      <w:jc w:val="center"/>
    </w:pPr>
  </w:p>
  <w:p w:rsidR="00DC4653" w:rsidRDefault="00DC4653" w:rsidP="00DC4653">
    <w:pPr>
      <w:pStyle w:val="Header"/>
      <w:ind w:right="809"/>
      <w:jc w:val="right"/>
    </w:pPr>
    <w:r>
      <w:t xml:space="preserve">Updated: </w:t>
    </w:r>
    <w:r w:rsidRPr="00707E5F">
      <w:t>28 August 2018</w:t>
    </w:r>
  </w:p>
  <w:p w:rsidR="001D6B32" w:rsidRDefault="001D6B32" w:rsidP="00DC4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32" w:rsidRDefault="001D6B32">
      <w:r>
        <w:separator/>
      </w:r>
    </w:p>
  </w:footnote>
  <w:footnote w:type="continuationSeparator" w:id="0">
    <w:p w:rsidR="001D6B32" w:rsidRDefault="001D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32" w:rsidRDefault="00DC4653">
    <w:pPr>
      <w:pStyle w:val="Header"/>
    </w:pPr>
    <w: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460"/>
    <w:multiLevelType w:val="hybridMultilevel"/>
    <w:tmpl w:val="C1C8A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BA5"/>
    <w:multiLevelType w:val="hybridMultilevel"/>
    <w:tmpl w:val="D82A7E98"/>
    <w:lvl w:ilvl="0" w:tplc="D6A63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C86"/>
    <w:multiLevelType w:val="hybridMultilevel"/>
    <w:tmpl w:val="A9BE5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83218"/>
    <w:multiLevelType w:val="hybridMultilevel"/>
    <w:tmpl w:val="128834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6574"/>
    <w:multiLevelType w:val="hybridMultilevel"/>
    <w:tmpl w:val="96A26F8A"/>
    <w:lvl w:ilvl="0" w:tplc="D5640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9B1"/>
    <w:multiLevelType w:val="hybridMultilevel"/>
    <w:tmpl w:val="B91CFD4C"/>
    <w:lvl w:ilvl="0" w:tplc="CECC05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C01EC2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C73"/>
    <w:multiLevelType w:val="multilevel"/>
    <w:tmpl w:val="08144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E525B87"/>
    <w:multiLevelType w:val="hybridMultilevel"/>
    <w:tmpl w:val="38BC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1876"/>
    <w:multiLevelType w:val="hybridMultilevel"/>
    <w:tmpl w:val="4FB4F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0364C"/>
    <w:multiLevelType w:val="hybridMultilevel"/>
    <w:tmpl w:val="46F8E624"/>
    <w:lvl w:ilvl="0" w:tplc="6EA2B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0718A"/>
    <w:multiLevelType w:val="hybridMultilevel"/>
    <w:tmpl w:val="F6B2AE4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5C01A3"/>
    <w:multiLevelType w:val="hybridMultilevel"/>
    <w:tmpl w:val="C3169B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2E83"/>
    <w:multiLevelType w:val="hybridMultilevel"/>
    <w:tmpl w:val="931C28CA"/>
    <w:lvl w:ilvl="0" w:tplc="E1A05D8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1314A"/>
    <w:multiLevelType w:val="hybridMultilevel"/>
    <w:tmpl w:val="F6EC8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5766"/>
    <w:multiLevelType w:val="hybridMultilevel"/>
    <w:tmpl w:val="6BDC5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AB20CE"/>
    <w:multiLevelType w:val="hybridMultilevel"/>
    <w:tmpl w:val="34261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01619"/>
    <w:multiLevelType w:val="hybridMultilevel"/>
    <w:tmpl w:val="D10651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077B45"/>
    <w:multiLevelType w:val="hybridMultilevel"/>
    <w:tmpl w:val="BFC0C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10420"/>
    <w:multiLevelType w:val="hybridMultilevel"/>
    <w:tmpl w:val="5B1EF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4200"/>
    <w:multiLevelType w:val="hybridMultilevel"/>
    <w:tmpl w:val="6DA86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175F7"/>
    <w:multiLevelType w:val="hybridMultilevel"/>
    <w:tmpl w:val="7CBC9A0C"/>
    <w:lvl w:ilvl="0" w:tplc="200270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75B75"/>
    <w:multiLevelType w:val="hybridMultilevel"/>
    <w:tmpl w:val="C5608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33E48"/>
    <w:multiLevelType w:val="multilevel"/>
    <w:tmpl w:val="45147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51667D4C"/>
    <w:multiLevelType w:val="hybridMultilevel"/>
    <w:tmpl w:val="929A8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01EE4"/>
    <w:multiLevelType w:val="multilevel"/>
    <w:tmpl w:val="3F88A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55C645FF"/>
    <w:multiLevelType w:val="hybridMultilevel"/>
    <w:tmpl w:val="16A88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8C0ED5"/>
    <w:multiLevelType w:val="multilevel"/>
    <w:tmpl w:val="7B981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633D5B28"/>
    <w:multiLevelType w:val="hybridMultilevel"/>
    <w:tmpl w:val="D8223B48"/>
    <w:lvl w:ilvl="0" w:tplc="0E9CE820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36D284E"/>
    <w:multiLevelType w:val="multilevel"/>
    <w:tmpl w:val="23720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>
    <w:nsid w:val="64584B5E"/>
    <w:multiLevelType w:val="hybridMultilevel"/>
    <w:tmpl w:val="569ADCB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674D5338"/>
    <w:multiLevelType w:val="hybridMultilevel"/>
    <w:tmpl w:val="CA4E9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FA3A72"/>
    <w:multiLevelType w:val="hybridMultilevel"/>
    <w:tmpl w:val="822C64EE"/>
    <w:lvl w:ilvl="0" w:tplc="D5640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83515"/>
    <w:multiLevelType w:val="multilevel"/>
    <w:tmpl w:val="23720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3">
    <w:nsid w:val="6E451DD3"/>
    <w:multiLevelType w:val="hybridMultilevel"/>
    <w:tmpl w:val="8F58B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163D95"/>
    <w:multiLevelType w:val="multilevel"/>
    <w:tmpl w:val="845637DC"/>
    <w:lvl w:ilvl="0">
      <w:start w:val="8"/>
      <w:numFmt w:val="decimal"/>
      <w:lvlText w:val="%1."/>
      <w:lvlJc w:val="left"/>
      <w:pPr>
        <w:tabs>
          <w:tab w:val="num" w:pos="562"/>
        </w:tabs>
        <w:ind w:left="0" w:firstLine="0"/>
      </w:pPr>
      <w:rPr>
        <w:rFonts w:ascii="Arial Bold" w:hAnsi="Arial Bold" w:cs="Verdana" w:hint="default"/>
        <w:b/>
        <w:bCs w:val="0"/>
        <w:i w:val="0"/>
        <w:iCs w:val="0"/>
        <w:sz w:val="28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07045AC"/>
    <w:multiLevelType w:val="hybridMultilevel"/>
    <w:tmpl w:val="3CC0DA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2232A9"/>
    <w:multiLevelType w:val="hybridMultilevel"/>
    <w:tmpl w:val="C6462968"/>
    <w:lvl w:ilvl="0" w:tplc="68FE2F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A5544"/>
    <w:multiLevelType w:val="multilevel"/>
    <w:tmpl w:val="181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8">
    <w:nsid w:val="78E12BEE"/>
    <w:multiLevelType w:val="hybridMultilevel"/>
    <w:tmpl w:val="B9D26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9134F"/>
    <w:multiLevelType w:val="hybridMultilevel"/>
    <w:tmpl w:val="822C64EE"/>
    <w:lvl w:ilvl="0" w:tplc="D5640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4"/>
  </w:num>
  <w:num w:numId="5">
    <w:abstractNumId w:val="8"/>
  </w:num>
  <w:num w:numId="6">
    <w:abstractNumId w:val="39"/>
  </w:num>
  <w:num w:numId="7">
    <w:abstractNumId w:val="16"/>
  </w:num>
  <w:num w:numId="8">
    <w:abstractNumId w:val="28"/>
  </w:num>
  <w:num w:numId="9">
    <w:abstractNumId w:val="32"/>
  </w:num>
  <w:num w:numId="10">
    <w:abstractNumId w:val="37"/>
  </w:num>
  <w:num w:numId="11">
    <w:abstractNumId w:val="24"/>
  </w:num>
  <w:num w:numId="12">
    <w:abstractNumId w:val="26"/>
  </w:num>
  <w:num w:numId="13">
    <w:abstractNumId w:val="6"/>
  </w:num>
  <w:num w:numId="14">
    <w:abstractNumId w:val="9"/>
  </w:num>
  <w:num w:numId="15">
    <w:abstractNumId w:val="19"/>
  </w:num>
  <w:num w:numId="16">
    <w:abstractNumId w:val="31"/>
  </w:num>
  <w:num w:numId="17">
    <w:abstractNumId w:val="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30"/>
  </w:num>
  <w:num w:numId="22">
    <w:abstractNumId w:val="7"/>
  </w:num>
  <w:num w:numId="23">
    <w:abstractNumId w:val="36"/>
  </w:num>
  <w:num w:numId="24">
    <w:abstractNumId w:val="2"/>
  </w:num>
  <w:num w:numId="25">
    <w:abstractNumId w:val="29"/>
  </w:num>
  <w:num w:numId="26">
    <w:abstractNumId w:val="35"/>
  </w:num>
  <w:num w:numId="27">
    <w:abstractNumId w:val="21"/>
  </w:num>
  <w:num w:numId="28">
    <w:abstractNumId w:val="23"/>
  </w:num>
  <w:num w:numId="29">
    <w:abstractNumId w:val="38"/>
  </w:num>
  <w:num w:numId="30">
    <w:abstractNumId w:val="0"/>
  </w:num>
  <w:num w:numId="31">
    <w:abstractNumId w:val="13"/>
  </w:num>
  <w:num w:numId="32">
    <w:abstractNumId w:val="12"/>
  </w:num>
  <w:num w:numId="33">
    <w:abstractNumId w:val="17"/>
  </w:num>
  <w:num w:numId="34">
    <w:abstractNumId w:val="15"/>
  </w:num>
  <w:num w:numId="35">
    <w:abstractNumId w:val="18"/>
  </w:num>
  <w:num w:numId="36">
    <w:abstractNumId w:val="3"/>
  </w:num>
  <w:num w:numId="37">
    <w:abstractNumId w:val="27"/>
  </w:num>
  <w:num w:numId="38">
    <w:abstractNumId w:val="33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9C"/>
    <w:rsid w:val="00000A1B"/>
    <w:rsid w:val="0000778D"/>
    <w:rsid w:val="00016882"/>
    <w:rsid w:val="00021362"/>
    <w:rsid w:val="000405D6"/>
    <w:rsid w:val="000456DC"/>
    <w:rsid w:val="000460C3"/>
    <w:rsid w:val="0008146A"/>
    <w:rsid w:val="000819AF"/>
    <w:rsid w:val="00084852"/>
    <w:rsid w:val="000865C7"/>
    <w:rsid w:val="0008797D"/>
    <w:rsid w:val="00090C5E"/>
    <w:rsid w:val="00092FA0"/>
    <w:rsid w:val="00095E79"/>
    <w:rsid w:val="000A0CEC"/>
    <w:rsid w:val="000A3332"/>
    <w:rsid w:val="000A630E"/>
    <w:rsid w:val="000B4310"/>
    <w:rsid w:val="000B5DAF"/>
    <w:rsid w:val="000D235E"/>
    <w:rsid w:val="000E3E7B"/>
    <w:rsid w:val="000E4C4F"/>
    <w:rsid w:val="000E5BC5"/>
    <w:rsid w:val="000F1526"/>
    <w:rsid w:val="000F29EF"/>
    <w:rsid w:val="000F5EA5"/>
    <w:rsid w:val="000F63DE"/>
    <w:rsid w:val="000F7C12"/>
    <w:rsid w:val="001035FE"/>
    <w:rsid w:val="00106D06"/>
    <w:rsid w:val="00114FE1"/>
    <w:rsid w:val="001209FB"/>
    <w:rsid w:val="001233B2"/>
    <w:rsid w:val="0012563E"/>
    <w:rsid w:val="00130167"/>
    <w:rsid w:val="001337ED"/>
    <w:rsid w:val="00136878"/>
    <w:rsid w:val="00137198"/>
    <w:rsid w:val="00154692"/>
    <w:rsid w:val="00157FCF"/>
    <w:rsid w:val="00163506"/>
    <w:rsid w:val="00163D92"/>
    <w:rsid w:val="001674FB"/>
    <w:rsid w:val="001724CD"/>
    <w:rsid w:val="0018034D"/>
    <w:rsid w:val="00182F72"/>
    <w:rsid w:val="00194CB1"/>
    <w:rsid w:val="001A4008"/>
    <w:rsid w:val="001B516C"/>
    <w:rsid w:val="001C2B23"/>
    <w:rsid w:val="001C3B25"/>
    <w:rsid w:val="001C7E44"/>
    <w:rsid w:val="001D1008"/>
    <w:rsid w:val="001D3C6F"/>
    <w:rsid w:val="001D6B32"/>
    <w:rsid w:val="001E68E2"/>
    <w:rsid w:val="001F168F"/>
    <w:rsid w:val="001F4314"/>
    <w:rsid w:val="001F436C"/>
    <w:rsid w:val="001F4B09"/>
    <w:rsid w:val="001F707A"/>
    <w:rsid w:val="00200974"/>
    <w:rsid w:val="002019F0"/>
    <w:rsid w:val="002075EB"/>
    <w:rsid w:val="00211C42"/>
    <w:rsid w:val="00211EAD"/>
    <w:rsid w:val="002222B7"/>
    <w:rsid w:val="0022415A"/>
    <w:rsid w:val="00232354"/>
    <w:rsid w:val="00242018"/>
    <w:rsid w:val="00246410"/>
    <w:rsid w:val="00250E50"/>
    <w:rsid w:val="00253138"/>
    <w:rsid w:val="00260B2E"/>
    <w:rsid w:val="00261795"/>
    <w:rsid w:val="00263E5E"/>
    <w:rsid w:val="002658A5"/>
    <w:rsid w:val="0026647E"/>
    <w:rsid w:val="002875A4"/>
    <w:rsid w:val="0029067A"/>
    <w:rsid w:val="00292F7B"/>
    <w:rsid w:val="00294311"/>
    <w:rsid w:val="00295299"/>
    <w:rsid w:val="00297538"/>
    <w:rsid w:val="002A0066"/>
    <w:rsid w:val="002A0DAA"/>
    <w:rsid w:val="002A2870"/>
    <w:rsid w:val="002A6B25"/>
    <w:rsid w:val="002B51C8"/>
    <w:rsid w:val="002C1430"/>
    <w:rsid w:val="002C41D1"/>
    <w:rsid w:val="002C4AAA"/>
    <w:rsid w:val="002D1217"/>
    <w:rsid w:val="002D2358"/>
    <w:rsid w:val="002D2B1E"/>
    <w:rsid w:val="002D35A2"/>
    <w:rsid w:val="002D70B0"/>
    <w:rsid w:val="002E40C4"/>
    <w:rsid w:val="002E479A"/>
    <w:rsid w:val="002E4D4E"/>
    <w:rsid w:val="002E72E2"/>
    <w:rsid w:val="002F041F"/>
    <w:rsid w:val="00300D7C"/>
    <w:rsid w:val="00302622"/>
    <w:rsid w:val="0030262C"/>
    <w:rsid w:val="00303055"/>
    <w:rsid w:val="00305238"/>
    <w:rsid w:val="0030585F"/>
    <w:rsid w:val="00311DB0"/>
    <w:rsid w:val="003172BC"/>
    <w:rsid w:val="00332B5A"/>
    <w:rsid w:val="00334539"/>
    <w:rsid w:val="0034314B"/>
    <w:rsid w:val="00365763"/>
    <w:rsid w:val="00380EE3"/>
    <w:rsid w:val="00384CE8"/>
    <w:rsid w:val="00397162"/>
    <w:rsid w:val="00397DAD"/>
    <w:rsid w:val="003B234C"/>
    <w:rsid w:val="003C136A"/>
    <w:rsid w:val="003D35EE"/>
    <w:rsid w:val="003D6EFA"/>
    <w:rsid w:val="003E0A9E"/>
    <w:rsid w:val="003E2EB8"/>
    <w:rsid w:val="003E3B9C"/>
    <w:rsid w:val="003E3C1A"/>
    <w:rsid w:val="003E64BC"/>
    <w:rsid w:val="003F7D63"/>
    <w:rsid w:val="004000D7"/>
    <w:rsid w:val="00401B73"/>
    <w:rsid w:val="0041654A"/>
    <w:rsid w:val="00417731"/>
    <w:rsid w:val="00422D24"/>
    <w:rsid w:val="00423E01"/>
    <w:rsid w:val="00430E0C"/>
    <w:rsid w:val="00433D9B"/>
    <w:rsid w:val="00441E13"/>
    <w:rsid w:val="004429EF"/>
    <w:rsid w:val="00444A35"/>
    <w:rsid w:val="00446EBC"/>
    <w:rsid w:val="00447B2E"/>
    <w:rsid w:val="0045078C"/>
    <w:rsid w:val="0045659E"/>
    <w:rsid w:val="0045773F"/>
    <w:rsid w:val="00460225"/>
    <w:rsid w:val="00466A6E"/>
    <w:rsid w:val="00466CC1"/>
    <w:rsid w:val="004741C1"/>
    <w:rsid w:val="0047471B"/>
    <w:rsid w:val="00480F04"/>
    <w:rsid w:val="00486B78"/>
    <w:rsid w:val="00486CAB"/>
    <w:rsid w:val="004911AD"/>
    <w:rsid w:val="004A44D4"/>
    <w:rsid w:val="004B5568"/>
    <w:rsid w:val="004B58E5"/>
    <w:rsid w:val="004D4EA2"/>
    <w:rsid w:val="004E287D"/>
    <w:rsid w:val="004E317F"/>
    <w:rsid w:val="004E7BBA"/>
    <w:rsid w:val="004F27E8"/>
    <w:rsid w:val="004F3EEC"/>
    <w:rsid w:val="004F7155"/>
    <w:rsid w:val="00500EC3"/>
    <w:rsid w:val="00504E43"/>
    <w:rsid w:val="00507463"/>
    <w:rsid w:val="00510AD4"/>
    <w:rsid w:val="0051568C"/>
    <w:rsid w:val="00515A8F"/>
    <w:rsid w:val="00517EE0"/>
    <w:rsid w:val="00521698"/>
    <w:rsid w:val="00532C6E"/>
    <w:rsid w:val="00532CB5"/>
    <w:rsid w:val="00532D87"/>
    <w:rsid w:val="0053706F"/>
    <w:rsid w:val="00540A0C"/>
    <w:rsid w:val="00540ED3"/>
    <w:rsid w:val="00550ECB"/>
    <w:rsid w:val="005513D8"/>
    <w:rsid w:val="005526F5"/>
    <w:rsid w:val="005604DA"/>
    <w:rsid w:val="0056653A"/>
    <w:rsid w:val="005673E8"/>
    <w:rsid w:val="00577735"/>
    <w:rsid w:val="00596CF1"/>
    <w:rsid w:val="005A379B"/>
    <w:rsid w:val="005B5467"/>
    <w:rsid w:val="005C0F9D"/>
    <w:rsid w:val="005C1DB9"/>
    <w:rsid w:val="005C1E22"/>
    <w:rsid w:val="005C60F8"/>
    <w:rsid w:val="005C7270"/>
    <w:rsid w:val="005D1C18"/>
    <w:rsid w:val="005D5334"/>
    <w:rsid w:val="005D77FC"/>
    <w:rsid w:val="005E4D8F"/>
    <w:rsid w:val="005E7410"/>
    <w:rsid w:val="0060338B"/>
    <w:rsid w:val="006033C3"/>
    <w:rsid w:val="00612F54"/>
    <w:rsid w:val="0061327A"/>
    <w:rsid w:val="006172FB"/>
    <w:rsid w:val="00625D5D"/>
    <w:rsid w:val="00633F81"/>
    <w:rsid w:val="006352FF"/>
    <w:rsid w:val="006416F1"/>
    <w:rsid w:val="00655D54"/>
    <w:rsid w:val="00655F39"/>
    <w:rsid w:val="00660CC1"/>
    <w:rsid w:val="00661280"/>
    <w:rsid w:val="006615A4"/>
    <w:rsid w:val="00661B01"/>
    <w:rsid w:val="00662DC7"/>
    <w:rsid w:val="006720EC"/>
    <w:rsid w:val="006766C5"/>
    <w:rsid w:val="00677959"/>
    <w:rsid w:val="00681C6B"/>
    <w:rsid w:val="006A2E89"/>
    <w:rsid w:val="006A3641"/>
    <w:rsid w:val="006A6A52"/>
    <w:rsid w:val="006C0886"/>
    <w:rsid w:val="006C1D24"/>
    <w:rsid w:val="006C66C1"/>
    <w:rsid w:val="006C7A68"/>
    <w:rsid w:val="006D0EE4"/>
    <w:rsid w:val="006D7EE5"/>
    <w:rsid w:val="006E071C"/>
    <w:rsid w:val="006F0E0F"/>
    <w:rsid w:val="006F18BB"/>
    <w:rsid w:val="006F7EF8"/>
    <w:rsid w:val="007039C0"/>
    <w:rsid w:val="007077B3"/>
    <w:rsid w:val="00707E5F"/>
    <w:rsid w:val="00711C31"/>
    <w:rsid w:val="00711E46"/>
    <w:rsid w:val="00712114"/>
    <w:rsid w:val="007157B1"/>
    <w:rsid w:val="00726206"/>
    <w:rsid w:val="00736641"/>
    <w:rsid w:val="00745D3D"/>
    <w:rsid w:val="00753146"/>
    <w:rsid w:val="00753D8E"/>
    <w:rsid w:val="00756518"/>
    <w:rsid w:val="0078125F"/>
    <w:rsid w:val="00782DDA"/>
    <w:rsid w:val="007871E6"/>
    <w:rsid w:val="007908F4"/>
    <w:rsid w:val="007A533B"/>
    <w:rsid w:val="007A795B"/>
    <w:rsid w:val="007B5329"/>
    <w:rsid w:val="007D4AB0"/>
    <w:rsid w:val="007D4B31"/>
    <w:rsid w:val="007D4C0C"/>
    <w:rsid w:val="007D4F3C"/>
    <w:rsid w:val="007E0814"/>
    <w:rsid w:val="007E3C45"/>
    <w:rsid w:val="007E3D5B"/>
    <w:rsid w:val="007E69EB"/>
    <w:rsid w:val="0080634F"/>
    <w:rsid w:val="0081103F"/>
    <w:rsid w:val="00811EF9"/>
    <w:rsid w:val="008207C5"/>
    <w:rsid w:val="008324B8"/>
    <w:rsid w:val="00837508"/>
    <w:rsid w:val="00840875"/>
    <w:rsid w:val="00850817"/>
    <w:rsid w:val="008512E4"/>
    <w:rsid w:val="00855728"/>
    <w:rsid w:val="00865071"/>
    <w:rsid w:val="00871D2F"/>
    <w:rsid w:val="0087417B"/>
    <w:rsid w:val="008763F8"/>
    <w:rsid w:val="008905C2"/>
    <w:rsid w:val="008916B1"/>
    <w:rsid w:val="00892828"/>
    <w:rsid w:val="008929F0"/>
    <w:rsid w:val="00894765"/>
    <w:rsid w:val="008A020C"/>
    <w:rsid w:val="008A0F07"/>
    <w:rsid w:val="008A1E9F"/>
    <w:rsid w:val="008A2B98"/>
    <w:rsid w:val="008A56AE"/>
    <w:rsid w:val="008B1DA1"/>
    <w:rsid w:val="008C024B"/>
    <w:rsid w:val="008C68B0"/>
    <w:rsid w:val="008E0E39"/>
    <w:rsid w:val="008E2486"/>
    <w:rsid w:val="008E2B0A"/>
    <w:rsid w:val="008E56C2"/>
    <w:rsid w:val="008E58EF"/>
    <w:rsid w:val="008F5A63"/>
    <w:rsid w:val="008F70AA"/>
    <w:rsid w:val="008F7DA0"/>
    <w:rsid w:val="00904C12"/>
    <w:rsid w:val="0090713B"/>
    <w:rsid w:val="00911049"/>
    <w:rsid w:val="00913426"/>
    <w:rsid w:val="00925D8C"/>
    <w:rsid w:val="009367C7"/>
    <w:rsid w:val="00944436"/>
    <w:rsid w:val="00950EE1"/>
    <w:rsid w:val="00951E4A"/>
    <w:rsid w:val="009608B1"/>
    <w:rsid w:val="00977AC5"/>
    <w:rsid w:val="00977CF6"/>
    <w:rsid w:val="00986A2C"/>
    <w:rsid w:val="00987563"/>
    <w:rsid w:val="00990594"/>
    <w:rsid w:val="00991546"/>
    <w:rsid w:val="009A3B8A"/>
    <w:rsid w:val="009A50A3"/>
    <w:rsid w:val="009A628A"/>
    <w:rsid w:val="009A66FD"/>
    <w:rsid w:val="009A7C63"/>
    <w:rsid w:val="009B0087"/>
    <w:rsid w:val="009B1BA7"/>
    <w:rsid w:val="009B3B57"/>
    <w:rsid w:val="009B622E"/>
    <w:rsid w:val="009B6639"/>
    <w:rsid w:val="009C0558"/>
    <w:rsid w:val="009C070F"/>
    <w:rsid w:val="009C6E4A"/>
    <w:rsid w:val="009D5124"/>
    <w:rsid w:val="009D7BAF"/>
    <w:rsid w:val="009E43DB"/>
    <w:rsid w:val="009E4D18"/>
    <w:rsid w:val="009E50EE"/>
    <w:rsid w:val="009E56AC"/>
    <w:rsid w:val="009F5376"/>
    <w:rsid w:val="009F7F7E"/>
    <w:rsid w:val="00A04E47"/>
    <w:rsid w:val="00A11E30"/>
    <w:rsid w:val="00A1203B"/>
    <w:rsid w:val="00A14AFE"/>
    <w:rsid w:val="00A23A45"/>
    <w:rsid w:val="00A26BDF"/>
    <w:rsid w:val="00A327B5"/>
    <w:rsid w:val="00A35D2C"/>
    <w:rsid w:val="00A36FB2"/>
    <w:rsid w:val="00A376CC"/>
    <w:rsid w:val="00A37A5C"/>
    <w:rsid w:val="00A41392"/>
    <w:rsid w:val="00A462FB"/>
    <w:rsid w:val="00A50653"/>
    <w:rsid w:val="00A50FFD"/>
    <w:rsid w:val="00A5706A"/>
    <w:rsid w:val="00A6387A"/>
    <w:rsid w:val="00A72422"/>
    <w:rsid w:val="00A74316"/>
    <w:rsid w:val="00A82F87"/>
    <w:rsid w:val="00A83E46"/>
    <w:rsid w:val="00A860E9"/>
    <w:rsid w:val="00A9084A"/>
    <w:rsid w:val="00A94EDD"/>
    <w:rsid w:val="00AA3A69"/>
    <w:rsid w:val="00AA3DD3"/>
    <w:rsid w:val="00AB4B28"/>
    <w:rsid w:val="00AB5D20"/>
    <w:rsid w:val="00AC3C95"/>
    <w:rsid w:val="00AD775C"/>
    <w:rsid w:val="00AE4FFE"/>
    <w:rsid w:val="00AF2136"/>
    <w:rsid w:val="00AF32E7"/>
    <w:rsid w:val="00AF519C"/>
    <w:rsid w:val="00B121F8"/>
    <w:rsid w:val="00B1685F"/>
    <w:rsid w:val="00B178D0"/>
    <w:rsid w:val="00B17BD5"/>
    <w:rsid w:val="00B17DF3"/>
    <w:rsid w:val="00B21B07"/>
    <w:rsid w:val="00B25C8B"/>
    <w:rsid w:val="00B32480"/>
    <w:rsid w:val="00B41401"/>
    <w:rsid w:val="00B41DD9"/>
    <w:rsid w:val="00B427B6"/>
    <w:rsid w:val="00B46BD9"/>
    <w:rsid w:val="00B50212"/>
    <w:rsid w:val="00B5063B"/>
    <w:rsid w:val="00B54EC8"/>
    <w:rsid w:val="00B5511A"/>
    <w:rsid w:val="00B62431"/>
    <w:rsid w:val="00B6527F"/>
    <w:rsid w:val="00B661FF"/>
    <w:rsid w:val="00B70C37"/>
    <w:rsid w:val="00B825D8"/>
    <w:rsid w:val="00B82AFF"/>
    <w:rsid w:val="00B86C56"/>
    <w:rsid w:val="00B86D43"/>
    <w:rsid w:val="00B93022"/>
    <w:rsid w:val="00BC5A8D"/>
    <w:rsid w:val="00BC64BE"/>
    <w:rsid w:val="00BD2090"/>
    <w:rsid w:val="00BD55B9"/>
    <w:rsid w:val="00BE3F9E"/>
    <w:rsid w:val="00BE600F"/>
    <w:rsid w:val="00BF3C2E"/>
    <w:rsid w:val="00C14FB4"/>
    <w:rsid w:val="00C170B0"/>
    <w:rsid w:val="00C20D47"/>
    <w:rsid w:val="00C31039"/>
    <w:rsid w:val="00C31465"/>
    <w:rsid w:val="00C34E65"/>
    <w:rsid w:val="00C45DEB"/>
    <w:rsid w:val="00C466C2"/>
    <w:rsid w:val="00C501B4"/>
    <w:rsid w:val="00C610E4"/>
    <w:rsid w:val="00C61DA7"/>
    <w:rsid w:val="00C63F1F"/>
    <w:rsid w:val="00C64CAD"/>
    <w:rsid w:val="00C72B91"/>
    <w:rsid w:val="00C73776"/>
    <w:rsid w:val="00C76F56"/>
    <w:rsid w:val="00C77BB2"/>
    <w:rsid w:val="00C93FB9"/>
    <w:rsid w:val="00CA3A79"/>
    <w:rsid w:val="00CA4D2B"/>
    <w:rsid w:val="00CA5B3A"/>
    <w:rsid w:val="00CB7663"/>
    <w:rsid w:val="00CC592F"/>
    <w:rsid w:val="00CC5B0B"/>
    <w:rsid w:val="00CC66F8"/>
    <w:rsid w:val="00CD36B3"/>
    <w:rsid w:val="00CD3BBB"/>
    <w:rsid w:val="00CE369C"/>
    <w:rsid w:val="00CE4181"/>
    <w:rsid w:val="00CF2EC4"/>
    <w:rsid w:val="00CF4B65"/>
    <w:rsid w:val="00CF5805"/>
    <w:rsid w:val="00CF594C"/>
    <w:rsid w:val="00D04114"/>
    <w:rsid w:val="00D127D3"/>
    <w:rsid w:val="00D17C2F"/>
    <w:rsid w:val="00D2270E"/>
    <w:rsid w:val="00D349EA"/>
    <w:rsid w:val="00D3526E"/>
    <w:rsid w:val="00D35345"/>
    <w:rsid w:val="00D367F1"/>
    <w:rsid w:val="00D37FE2"/>
    <w:rsid w:val="00D40227"/>
    <w:rsid w:val="00D42EF1"/>
    <w:rsid w:val="00D44C6D"/>
    <w:rsid w:val="00D46C21"/>
    <w:rsid w:val="00D57621"/>
    <w:rsid w:val="00D61C49"/>
    <w:rsid w:val="00D644A8"/>
    <w:rsid w:val="00D6765E"/>
    <w:rsid w:val="00D67EA0"/>
    <w:rsid w:val="00D71A2D"/>
    <w:rsid w:val="00D72113"/>
    <w:rsid w:val="00D72A3F"/>
    <w:rsid w:val="00D823A0"/>
    <w:rsid w:val="00D825F6"/>
    <w:rsid w:val="00D869C3"/>
    <w:rsid w:val="00D903D3"/>
    <w:rsid w:val="00D96D7B"/>
    <w:rsid w:val="00DA31FF"/>
    <w:rsid w:val="00DA6311"/>
    <w:rsid w:val="00DA6CB6"/>
    <w:rsid w:val="00DA7918"/>
    <w:rsid w:val="00DA7B4F"/>
    <w:rsid w:val="00DB15B1"/>
    <w:rsid w:val="00DB4BFE"/>
    <w:rsid w:val="00DB7994"/>
    <w:rsid w:val="00DC0C0B"/>
    <w:rsid w:val="00DC21EA"/>
    <w:rsid w:val="00DC4653"/>
    <w:rsid w:val="00DD2DCB"/>
    <w:rsid w:val="00DD79A5"/>
    <w:rsid w:val="00DE27F9"/>
    <w:rsid w:val="00DE65C6"/>
    <w:rsid w:val="00E06EBB"/>
    <w:rsid w:val="00E10410"/>
    <w:rsid w:val="00E17243"/>
    <w:rsid w:val="00E41E1F"/>
    <w:rsid w:val="00E44592"/>
    <w:rsid w:val="00E51802"/>
    <w:rsid w:val="00E53DE6"/>
    <w:rsid w:val="00E56FF7"/>
    <w:rsid w:val="00E570DB"/>
    <w:rsid w:val="00E57DA9"/>
    <w:rsid w:val="00E6179B"/>
    <w:rsid w:val="00E80F99"/>
    <w:rsid w:val="00E81FA0"/>
    <w:rsid w:val="00E871D3"/>
    <w:rsid w:val="00E87FC5"/>
    <w:rsid w:val="00E91C47"/>
    <w:rsid w:val="00E94DE9"/>
    <w:rsid w:val="00E95792"/>
    <w:rsid w:val="00EA2830"/>
    <w:rsid w:val="00EB28B6"/>
    <w:rsid w:val="00ED589C"/>
    <w:rsid w:val="00EE446C"/>
    <w:rsid w:val="00EF1D2B"/>
    <w:rsid w:val="00EF2B4A"/>
    <w:rsid w:val="00EF5172"/>
    <w:rsid w:val="00EF611D"/>
    <w:rsid w:val="00EF70C8"/>
    <w:rsid w:val="00EF70FB"/>
    <w:rsid w:val="00F01D2C"/>
    <w:rsid w:val="00F02854"/>
    <w:rsid w:val="00F03B07"/>
    <w:rsid w:val="00F04DA0"/>
    <w:rsid w:val="00F05D4A"/>
    <w:rsid w:val="00F067E3"/>
    <w:rsid w:val="00F10D47"/>
    <w:rsid w:val="00F2286B"/>
    <w:rsid w:val="00F253A0"/>
    <w:rsid w:val="00F25F92"/>
    <w:rsid w:val="00F262B0"/>
    <w:rsid w:val="00F31568"/>
    <w:rsid w:val="00F34329"/>
    <w:rsid w:val="00F352AA"/>
    <w:rsid w:val="00F37D2D"/>
    <w:rsid w:val="00F406CB"/>
    <w:rsid w:val="00F419E4"/>
    <w:rsid w:val="00F50E78"/>
    <w:rsid w:val="00F54C36"/>
    <w:rsid w:val="00F615B9"/>
    <w:rsid w:val="00F6244A"/>
    <w:rsid w:val="00F64537"/>
    <w:rsid w:val="00F64ED1"/>
    <w:rsid w:val="00F74735"/>
    <w:rsid w:val="00F7481A"/>
    <w:rsid w:val="00F7619A"/>
    <w:rsid w:val="00F77621"/>
    <w:rsid w:val="00F856E6"/>
    <w:rsid w:val="00F85CA2"/>
    <w:rsid w:val="00F93B52"/>
    <w:rsid w:val="00F94648"/>
    <w:rsid w:val="00FA24BC"/>
    <w:rsid w:val="00FA36BB"/>
    <w:rsid w:val="00FA3B7B"/>
    <w:rsid w:val="00FA5CAD"/>
    <w:rsid w:val="00FB32B1"/>
    <w:rsid w:val="00FC67D7"/>
    <w:rsid w:val="00FD06AC"/>
    <w:rsid w:val="00FD0AD7"/>
    <w:rsid w:val="00FD188D"/>
    <w:rsid w:val="00FD2244"/>
    <w:rsid w:val="00FD3A85"/>
    <w:rsid w:val="00FF51CE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9C"/>
  </w:style>
  <w:style w:type="paragraph" w:styleId="Footer">
    <w:name w:val="footer"/>
    <w:basedOn w:val="Normal"/>
    <w:link w:val="FooterChar"/>
    <w:uiPriority w:val="99"/>
    <w:unhideWhenUsed/>
    <w:rsid w:val="00AF5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9C"/>
  </w:style>
  <w:style w:type="paragraph" w:styleId="BalloonText">
    <w:name w:val="Balloon Text"/>
    <w:basedOn w:val="Normal"/>
    <w:link w:val="BalloonTextChar"/>
    <w:uiPriority w:val="99"/>
    <w:semiHidden/>
    <w:unhideWhenUsed/>
    <w:rsid w:val="00AF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519C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F519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D44C6D"/>
    <w:rPr>
      <w:b/>
      <w:bCs/>
    </w:rPr>
  </w:style>
  <w:style w:type="paragraph" w:customStyle="1" w:styleId="default0">
    <w:name w:val="default"/>
    <w:basedOn w:val="Normal"/>
    <w:rsid w:val="00000A1B"/>
    <w:rPr>
      <w:rFonts w:ascii="Verdana" w:hAnsi="Verdana" w:cs="Times New Roman"/>
      <w:color w:val="00000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0DAA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53A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3A0"/>
    <w:rPr>
      <w:rFonts w:cstheme="minorBidi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EF5172"/>
  </w:style>
  <w:style w:type="table" w:customStyle="1" w:styleId="TableGrid1">
    <w:name w:val="Table Grid1"/>
    <w:basedOn w:val="TableNormal"/>
    <w:next w:val="TableGrid"/>
    <w:uiPriority w:val="59"/>
    <w:rsid w:val="00EF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CommentTextChar"/>
    <w:uiPriority w:val="99"/>
    <w:semiHidden/>
    <w:rsid w:val="00EF51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299"/>
  </w:style>
  <w:style w:type="character" w:customStyle="1" w:styleId="ListParagraphChar">
    <w:name w:val="List Paragraph Char"/>
    <w:link w:val="ListParagraph"/>
    <w:uiPriority w:val="34"/>
    <w:locked/>
    <w:rsid w:val="002F041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9C"/>
  </w:style>
  <w:style w:type="paragraph" w:styleId="Footer">
    <w:name w:val="footer"/>
    <w:basedOn w:val="Normal"/>
    <w:link w:val="FooterChar"/>
    <w:uiPriority w:val="99"/>
    <w:unhideWhenUsed/>
    <w:rsid w:val="00AF5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9C"/>
  </w:style>
  <w:style w:type="paragraph" w:styleId="BalloonText">
    <w:name w:val="Balloon Text"/>
    <w:basedOn w:val="Normal"/>
    <w:link w:val="BalloonTextChar"/>
    <w:uiPriority w:val="99"/>
    <w:semiHidden/>
    <w:unhideWhenUsed/>
    <w:rsid w:val="00AF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519C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F519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D44C6D"/>
    <w:rPr>
      <w:b/>
      <w:bCs/>
    </w:rPr>
  </w:style>
  <w:style w:type="paragraph" w:customStyle="1" w:styleId="default0">
    <w:name w:val="default"/>
    <w:basedOn w:val="Normal"/>
    <w:rsid w:val="00000A1B"/>
    <w:rPr>
      <w:rFonts w:ascii="Verdana" w:hAnsi="Verdana" w:cs="Times New Roman"/>
      <w:color w:val="00000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0DAA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53A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3A0"/>
    <w:rPr>
      <w:rFonts w:cstheme="minorBidi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EF5172"/>
  </w:style>
  <w:style w:type="table" w:customStyle="1" w:styleId="TableGrid1">
    <w:name w:val="Table Grid1"/>
    <w:basedOn w:val="TableNormal"/>
    <w:next w:val="TableGrid"/>
    <w:uiPriority w:val="59"/>
    <w:rsid w:val="00EF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CommentTextChar"/>
    <w:uiPriority w:val="99"/>
    <w:semiHidden/>
    <w:rsid w:val="00EF51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299"/>
  </w:style>
  <w:style w:type="character" w:customStyle="1" w:styleId="ListParagraphChar">
    <w:name w:val="List Paragraph Char"/>
    <w:link w:val="ListParagraph"/>
    <w:uiPriority w:val="34"/>
    <w:locked/>
    <w:rsid w:val="002F041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15B9-F89E-4627-80EE-A06A099C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611D9F7C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ben.threadgold</dc:creator>
  <cp:lastModifiedBy>cphythian</cp:lastModifiedBy>
  <cp:revision>3</cp:revision>
  <cp:lastPrinted>2015-04-15T09:07:00Z</cp:lastPrinted>
  <dcterms:created xsi:type="dcterms:W3CDTF">2018-09-18T10:53:00Z</dcterms:created>
  <dcterms:modified xsi:type="dcterms:W3CDTF">2018-11-12T13:20:00Z</dcterms:modified>
</cp:coreProperties>
</file>